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0" w:before="0" w:lineRule="auto"/>
        <w:jc w:val="center"/>
        <w:rPr>
          <w:b w:val="1"/>
          <w:bCs w:val="1"/>
        </w:rPr>
      </w:pPr>
      <w:bookmarkStart w:colFirst="0" w:colLast="0" w:name="_53wy87g1nvs9" w:id="0"/>
      <w:bookmarkEnd w:id="0"/>
      <w:r w:rsidDel="00000000" w:rsidR="00000000" w:rsidRPr="00000000">
        <w:rPr>
          <w:b w:val="1"/>
          <w:bCs w:val="1"/>
          <w:rtl w:val="0"/>
        </w:rPr>
        <w:t xml:space="preserve">VCTA Elections Procedures</w:t>
      </w:r>
    </w:p>
    <w:p w:rsidR="00000000" w:rsidDel="00000000" w:rsidP="00000000" w:rsidRDefault="00000000" w:rsidRPr="00000000" w14:paraId="00000002">
      <w:pPr>
        <w:pStyle w:val="Heading1"/>
        <w:spacing w:after="0" w:before="0" w:lineRule="auto"/>
        <w:jc w:val="center"/>
        <w:rPr>
          <w:b w:val="1"/>
          <w:bCs w:val="1"/>
          <w:sz w:val="28"/>
          <w:szCs w:val="28"/>
        </w:rPr>
      </w:pPr>
      <w:bookmarkStart w:colFirst="0" w:colLast="0" w:name="_rtowxtdru39m" w:id="1"/>
      <w:bookmarkEnd w:id="1"/>
      <w:r w:rsidDel="00000000" w:rsidR="00000000" w:rsidRPr="00000000">
        <w:rPr>
          <w:b w:val="1"/>
          <w:bCs w:val="1"/>
          <w:sz w:val="28"/>
          <w:szCs w:val="28"/>
          <w:rtl w:val="0"/>
        </w:rPr>
        <w:t xml:space="preserve">as outlined in the</w:t>
      </w:r>
    </w:p>
    <w:p w:rsidR="00000000" w:rsidDel="00000000" w:rsidP="00000000" w:rsidRDefault="00000000" w:rsidRPr="00000000" w14:paraId="00000003">
      <w:pPr>
        <w:pageBreakBefore w:val="0"/>
        <w:jc w:val="center"/>
        <w:rPr>
          <w:b w:val="1"/>
          <w:bCs w:val="1"/>
          <w:sz w:val="28"/>
          <w:szCs w:val="28"/>
        </w:rPr>
      </w:pPr>
      <w:r w:rsidDel="00000000" w:rsidR="00000000" w:rsidRPr="00000000">
        <w:rPr>
          <w:b w:val="1"/>
          <w:bCs w:val="1"/>
          <w:sz w:val="28"/>
          <w:szCs w:val="28"/>
          <w:rtl w:val="0"/>
        </w:rPr>
        <w:t xml:space="preserve">Constitution and Bylaws of the Valley Central Teachers’ Association</w:t>
      </w:r>
    </w:p>
    <w:p w:rsidR="00000000" w:rsidDel="00000000" w:rsidP="00000000" w:rsidRDefault="00000000" w:rsidRPr="00000000" w14:paraId="00000004">
      <w:pPr>
        <w:pageBreakBefore w:val="0"/>
        <w:rPr>
          <w:b w:val="1"/>
          <w:bCs w:val="1"/>
          <w:sz w:val="28"/>
          <w:szCs w:val="28"/>
        </w:rPr>
      </w:pPr>
      <w:r w:rsidDel="00000000" w:rsidR="00000000" w:rsidRPr="00000000">
        <w:rPr>
          <w:rtl w:val="0"/>
        </w:rPr>
      </w:r>
    </w:p>
    <w:p w:rsidR="00000000" w:rsidDel="00000000" w:rsidP="00000000" w:rsidRDefault="00000000" w:rsidRPr="00000000" w14:paraId="00000005">
      <w:pPr>
        <w:spacing w:after="200" w:before="0" w:line="240" w:lineRule="auto"/>
        <w:rPr>
          <w:rFonts w:ascii="Times New Roman" w:cs="Times New Roman" w:eastAsia="Times New Roman" w:hAnsi="Times New Roman"/>
          <w:b w:val="1"/>
          <w:bCs w:val="1"/>
          <w:sz w:val="28"/>
          <w:szCs w:val="28"/>
          <w:u w:val="single"/>
        </w:rPr>
      </w:pPr>
      <w:r w:rsidDel="00000000" w:rsidR="00000000" w:rsidRPr="00000000">
        <w:rPr>
          <w:rFonts w:ascii="Times New Roman" w:cs="Times New Roman" w:eastAsia="Times New Roman" w:hAnsi="Times New Roman"/>
          <w:b w:val="1"/>
          <w:bCs w:val="1"/>
          <w:sz w:val="28"/>
          <w:szCs w:val="28"/>
          <w:u w:val="single"/>
          <w:rtl w:val="0"/>
        </w:rPr>
        <w:t xml:space="preserve">Article VI: Nominations and Elections of Officers</w:t>
      </w:r>
    </w:p>
    <w:p w:rsidR="00000000" w:rsidDel="00000000" w:rsidP="00000000" w:rsidRDefault="00000000" w:rsidRPr="00000000" w14:paraId="00000006">
      <w:pPr>
        <w:numPr>
          <w:ilvl w:val="0"/>
          <w:numId w:val="1"/>
        </w:numPr>
        <w:spacing w:line="240" w:lineRule="auto"/>
        <w:ind w:left="54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u w:val="single"/>
          <w:rtl w:val="0"/>
        </w:rPr>
        <w:t xml:space="preserve">Nominations of Officers &amp; Delegates</w:t>
      </w:r>
    </w:p>
    <w:p w:rsidR="00000000" w:rsidDel="00000000" w:rsidP="00000000" w:rsidRDefault="00000000" w:rsidRPr="00000000" w14:paraId="00000007">
      <w:pPr>
        <w:numPr>
          <w:ilvl w:val="1"/>
          <w:numId w:val="1"/>
        </w:numPr>
        <w:spacing w:line="240" w:lineRule="auto"/>
        <w:ind w:left="90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Each Active Member shall be given a reasonable opportunity to nominate candidates for office.</w:t>
      </w:r>
    </w:p>
    <w:p w:rsidR="00000000" w:rsidDel="00000000" w:rsidP="00000000" w:rsidRDefault="00000000" w:rsidRPr="00000000" w14:paraId="00000008">
      <w:pPr>
        <w:numPr>
          <w:ilvl w:val="1"/>
          <w:numId w:val="1"/>
        </w:numPr>
        <w:spacing w:line="240" w:lineRule="auto"/>
        <w:ind w:left="90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By March 1st, notice of the offices to be filled, the right to make nominations, and the time, place, and proper form for submission of nominations will be announced in a letter from the President and/or Executive Board and be prominently posted in each work site.</w:t>
      </w:r>
    </w:p>
    <w:p w:rsidR="00000000" w:rsidDel="00000000" w:rsidP="00000000" w:rsidRDefault="00000000" w:rsidRPr="00000000" w14:paraId="00000009">
      <w:pPr>
        <w:numPr>
          <w:ilvl w:val="1"/>
          <w:numId w:val="1"/>
        </w:numPr>
        <w:spacing w:line="240" w:lineRule="auto"/>
        <w:ind w:left="90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Advanced notification of all qualifications for elected office shall be provided to the membership.</w:t>
      </w:r>
    </w:p>
    <w:p w:rsidR="00000000" w:rsidDel="00000000" w:rsidP="00000000" w:rsidRDefault="00000000" w:rsidRPr="00000000" w14:paraId="0000000A">
      <w:pPr>
        <w:numPr>
          <w:ilvl w:val="1"/>
          <w:numId w:val="1"/>
        </w:numPr>
        <w:spacing w:line="240" w:lineRule="auto"/>
        <w:ind w:left="90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Nomination procedures shall be in compliance with the requirements of the Landrum-Griffin Act.</w:t>
      </w:r>
    </w:p>
    <w:p w:rsidR="00000000" w:rsidDel="00000000" w:rsidP="00000000" w:rsidRDefault="00000000" w:rsidRPr="00000000" w14:paraId="0000000B">
      <w:pPr>
        <w:numPr>
          <w:ilvl w:val="1"/>
          <w:numId w:val="1"/>
        </w:numPr>
        <w:spacing w:line="240" w:lineRule="auto"/>
        <w:ind w:left="90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Active Members of the Association may obtain a nomination form on the Association website or from a Building or Unit Representative to nominate a candidate for President/Delegate, Vice-Presidents/Delegates, Secretary/Delegate, and/or Treasurer/Delegate during the month of March. The nominee must also sign the nomination form to demonstrate their willingness to run for office and be a delegate to NYSUT’s Representative Assembly and the Conventions of the national affiliates. Completed nomination forms must be delivered to the Elections Committee by March 20th.</w:t>
      </w:r>
    </w:p>
    <w:p w:rsidR="00000000" w:rsidDel="00000000" w:rsidP="00000000" w:rsidRDefault="00000000" w:rsidRPr="00000000" w14:paraId="0000000C">
      <w:pPr>
        <w:numPr>
          <w:ilvl w:val="1"/>
          <w:numId w:val="1"/>
        </w:numPr>
        <w:spacing w:line="240" w:lineRule="auto"/>
        <w:ind w:left="90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u w:val="single"/>
          <w:rtl w:val="0"/>
        </w:rPr>
        <w:t xml:space="preserve">Information on Candidates</w:t>
      </w:r>
    </w:p>
    <w:p w:rsidR="00000000" w:rsidDel="00000000" w:rsidP="00000000" w:rsidRDefault="00000000" w:rsidRPr="00000000" w14:paraId="0000000D">
      <w:pPr>
        <w:numPr>
          <w:ilvl w:val="2"/>
          <w:numId w:val="1"/>
        </w:numPr>
        <w:spacing w:line="240" w:lineRule="auto"/>
        <w:ind w:left="126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Nominees must prepare and present a biography to the Elections Committee for publication to the membership by March 20th. </w:t>
      </w:r>
    </w:p>
    <w:p w:rsidR="00000000" w:rsidDel="00000000" w:rsidP="00000000" w:rsidRDefault="00000000" w:rsidRPr="00000000" w14:paraId="0000000E">
      <w:pPr>
        <w:numPr>
          <w:ilvl w:val="2"/>
          <w:numId w:val="1"/>
        </w:numPr>
        <w:spacing w:line="240" w:lineRule="auto"/>
        <w:ind w:left="126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All candidates' biographies will be simultaneously published/distributed to membership by March 30th via email, the Association website, or any other means deemed sufficient by the Elections Committee and approved by the Representative Council.</w:t>
      </w:r>
    </w:p>
    <w:p w:rsidR="00000000" w:rsidDel="00000000" w:rsidP="00000000" w:rsidRDefault="00000000" w:rsidRPr="00000000" w14:paraId="0000000F">
      <w:pPr>
        <w:numPr>
          <w:ilvl w:val="2"/>
          <w:numId w:val="1"/>
        </w:numPr>
        <w:spacing w:line="240" w:lineRule="auto"/>
        <w:ind w:left="1260" w:hanging="360"/>
        <w:rPr>
          <w:rFonts w:ascii="Times New Roman" w:cs="Times New Roman" w:eastAsia="Times New Roman" w:hAnsi="Times New Roman"/>
          <w:sz w:val="26"/>
          <w:szCs w:val="26"/>
        </w:rPr>
        <w:sectPr>
          <w:headerReference r:id="rId6" w:type="default"/>
          <w:headerReference r:id="rId7" w:type="first"/>
          <w:footerReference r:id="rId8" w:type="default"/>
          <w:footerReference r:id="rId9" w:type="first"/>
          <w:pgSz w:h="15840" w:w="12240" w:orient="portrait"/>
          <w:pgMar w:bottom="1440" w:top="1440" w:left="1080" w:right="1080" w:header="0" w:footer="720"/>
          <w:pgNumType w:start="1"/>
          <w:titlePg w:val="1"/>
        </w:sectPr>
      </w:pPr>
      <w:r w:rsidDel="00000000" w:rsidR="00000000" w:rsidRPr="00000000">
        <w:rPr>
          <w:rFonts w:ascii="Times New Roman" w:cs="Times New Roman" w:eastAsia="Times New Roman" w:hAnsi="Times New Roman"/>
          <w:sz w:val="26"/>
          <w:szCs w:val="26"/>
          <w:rtl w:val="0"/>
        </w:rPr>
        <w:t xml:space="preserve">The Elections Committee will oversee campaign speeches and a question/answer period at a General Membership meeting in April. If the election is uncontested the Elections Committee may determine that the April presentation is unnecessary.</w:t>
      </w:r>
    </w:p>
    <w:p w:rsidR="00000000" w:rsidDel="00000000" w:rsidP="00000000" w:rsidRDefault="00000000" w:rsidRPr="00000000" w14:paraId="00000010">
      <w:pPr>
        <w:spacing w:line="240" w:lineRule="auto"/>
        <w:ind w:left="0" w:firstLine="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1">
      <w:pPr>
        <w:numPr>
          <w:ilvl w:val="0"/>
          <w:numId w:val="1"/>
        </w:numPr>
        <w:spacing w:line="240" w:lineRule="auto"/>
        <w:ind w:left="54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u w:val="single"/>
          <w:rtl w:val="0"/>
        </w:rPr>
        <w:t xml:space="preserve">Elections of Officers &amp; Delegates</w:t>
      </w:r>
    </w:p>
    <w:p w:rsidR="00000000" w:rsidDel="00000000" w:rsidP="00000000" w:rsidRDefault="00000000" w:rsidRPr="00000000" w14:paraId="00000012">
      <w:pPr>
        <w:numPr>
          <w:ilvl w:val="1"/>
          <w:numId w:val="1"/>
        </w:numPr>
        <w:spacing w:line="240" w:lineRule="auto"/>
        <w:ind w:left="90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Elections for officers/delegates need not be held for positions that are uncontested.</w:t>
      </w:r>
    </w:p>
    <w:p w:rsidR="00000000" w:rsidDel="00000000" w:rsidP="00000000" w:rsidRDefault="00000000" w:rsidRPr="00000000" w14:paraId="00000013">
      <w:pPr>
        <w:numPr>
          <w:ilvl w:val="1"/>
          <w:numId w:val="1"/>
        </w:numPr>
        <w:spacing w:line="240" w:lineRule="auto"/>
        <w:ind w:left="90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Written notice announcing the time and place of elections shall be mailed to the last known home address of each Active and Reserve member, at least fifteen (15) days prior to the election, not including the date of mailing.</w:t>
      </w:r>
    </w:p>
    <w:p w:rsidR="00000000" w:rsidDel="00000000" w:rsidP="00000000" w:rsidRDefault="00000000" w:rsidRPr="00000000" w14:paraId="00000014">
      <w:pPr>
        <w:numPr>
          <w:ilvl w:val="1"/>
          <w:numId w:val="1"/>
        </w:numPr>
        <w:spacing w:line="240" w:lineRule="auto"/>
        <w:ind w:left="90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Votes will be valid only for those candidates who have followed the procedures set forth in Paragraph A, above; therefore, write-in votes are invalid.</w:t>
      </w:r>
    </w:p>
    <w:p w:rsidR="00000000" w:rsidDel="00000000" w:rsidP="00000000" w:rsidRDefault="00000000" w:rsidRPr="00000000" w14:paraId="00000015">
      <w:pPr>
        <w:numPr>
          <w:ilvl w:val="1"/>
          <w:numId w:val="1"/>
        </w:numPr>
        <w:spacing w:line="240" w:lineRule="auto"/>
        <w:ind w:left="90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Members shall vote by secret ballot in each building as determined by the Elections Committee. </w:t>
      </w:r>
    </w:p>
    <w:p w:rsidR="00000000" w:rsidDel="00000000" w:rsidP="00000000" w:rsidRDefault="00000000" w:rsidRPr="00000000" w14:paraId="00000016">
      <w:pPr>
        <w:numPr>
          <w:ilvl w:val="1"/>
          <w:numId w:val="1"/>
        </w:numPr>
        <w:spacing w:line="240" w:lineRule="auto"/>
        <w:ind w:left="90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u w:val="single"/>
          <w:rtl w:val="0"/>
        </w:rPr>
        <w:t xml:space="preserve">Absentee Ballots</w:t>
      </w:r>
    </w:p>
    <w:p w:rsidR="00000000" w:rsidDel="00000000" w:rsidP="00000000" w:rsidRDefault="00000000" w:rsidRPr="00000000" w14:paraId="00000017">
      <w:pPr>
        <w:numPr>
          <w:ilvl w:val="2"/>
          <w:numId w:val="1"/>
        </w:numPr>
        <w:spacing w:line="240" w:lineRule="auto"/>
        <w:ind w:left="126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Members who know in advance that they will be absent from work on the day of VCTA elections may place their signed vote(s) in a sealed envelope with their name also written across the envelope seal. The envelope should be given to a building representative on the member’s last day of attendance before the VCTA Election Day.</w:t>
      </w:r>
    </w:p>
    <w:p w:rsidR="00000000" w:rsidDel="00000000" w:rsidP="00000000" w:rsidRDefault="00000000" w:rsidRPr="00000000" w14:paraId="00000018">
      <w:pPr>
        <w:numPr>
          <w:ilvl w:val="2"/>
          <w:numId w:val="1"/>
        </w:numPr>
        <w:spacing w:line="240" w:lineRule="auto"/>
        <w:ind w:left="126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Members who are unexpectedly absent on the day of VCTA elections may email the Elections Chair or call the Association phone and leave a detailed message indicating their vote(s). Upon return to work they must immediately follow the procedure specified in Sub-paragraph 5.a. of this Section, above to verify the authenticity of their vote.</w:t>
      </w:r>
    </w:p>
    <w:p w:rsidR="00000000" w:rsidDel="00000000" w:rsidP="00000000" w:rsidRDefault="00000000" w:rsidRPr="00000000" w14:paraId="00000019">
      <w:pPr>
        <w:numPr>
          <w:ilvl w:val="1"/>
          <w:numId w:val="1"/>
        </w:numPr>
        <w:spacing w:line="240" w:lineRule="auto"/>
        <w:ind w:left="90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No union funds or employer funds shall be utilized in any local election unless such funds are expended in a way consistent with the standards applicable to a union election which is subject to and governed by Title IV of the Labor-Management Reporting and Disclosure Act (LMRDA) (“Landrum-Griffin”).</w:t>
      </w:r>
    </w:p>
    <w:p w:rsidR="00000000" w:rsidDel="00000000" w:rsidP="00000000" w:rsidRDefault="00000000" w:rsidRPr="00000000" w14:paraId="0000001A">
      <w:pPr>
        <w:numPr>
          <w:ilvl w:val="1"/>
          <w:numId w:val="1"/>
        </w:numPr>
        <w:spacing w:line="240" w:lineRule="auto"/>
        <w:ind w:left="90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Unless explicitly agreed to by the employer, no candidate is authorized to use employer email addresses for campaign purposes. </w:t>
      </w:r>
    </w:p>
    <w:p w:rsidR="00000000" w:rsidDel="00000000" w:rsidP="00000000" w:rsidRDefault="00000000" w:rsidRPr="00000000" w14:paraId="0000001B">
      <w:pPr>
        <w:numPr>
          <w:ilvl w:val="1"/>
          <w:numId w:val="1"/>
        </w:numPr>
        <w:spacing w:line="240" w:lineRule="auto"/>
        <w:ind w:left="90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results of all elections shall be promptly announced by the Elections Committee.</w:t>
      </w:r>
    </w:p>
    <w:p w:rsidR="00000000" w:rsidDel="00000000" w:rsidP="00000000" w:rsidRDefault="00000000" w:rsidRPr="00000000" w14:paraId="0000001C">
      <w:pPr>
        <w:numPr>
          <w:ilvl w:val="1"/>
          <w:numId w:val="1"/>
        </w:numPr>
        <w:spacing w:line="240" w:lineRule="auto"/>
        <w:ind w:left="90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majority of the votes cast shall be necessary for election. Should no candidate receive a majority vote, a special election shall be held between the two candidates receiving the greatest number of votes; such election shall be held within three school days after the regular election.</w:t>
      </w:r>
    </w:p>
    <w:p w:rsidR="00000000" w:rsidDel="00000000" w:rsidP="00000000" w:rsidRDefault="00000000" w:rsidRPr="00000000" w14:paraId="0000001D">
      <w:pPr>
        <w:numPr>
          <w:ilvl w:val="1"/>
          <w:numId w:val="1"/>
        </w:numPr>
        <w:spacing w:line="240" w:lineRule="auto"/>
        <w:ind w:left="90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Secretary shall preserve all election records, including ballots, for a period of time equal to the term of office or the election cycle. Further, if the election is contested, the records shall be preserved for a period of one (1) year after a final determination is made in the contested election.</w:t>
      </w:r>
    </w:p>
    <w:p w:rsidR="00000000" w:rsidDel="00000000" w:rsidP="00000000" w:rsidRDefault="00000000" w:rsidRPr="00000000" w14:paraId="0000001E">
      <w:pPr>
        <w:numPr>
          <w:ilvl w:val="1"/>
          <w:numId w:val="1"/>
        </w:numPr>
        <w:spacing w:line="240" w:lineRule="auto"/>
        <w:ind w:left="90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Terms of office for duly elected officers shall be two (2) years, commencing at the start of the Association’s fiscal year of July 1. Each officer shall remain in office until their successor assumes the office. </w:t>
      </w:r>
      <w:r w:rsidDel="00000000" w:rsidR="00000000" w:rsidRPr="00000000">
        <w:rPr>
          <w:rtl w:val="0"/>
        </w:rPr>
      </w:r>
    </w:p>
    <w:p w:rsidR="00000000" w:rsidDel="00000000" w:rsidP="00000000" w:rsidRDefault="00000000" w:rsidRPr="00000000" w14:paraId="0000001F">
      <w:pPr>
        <w:pageBreakBefore w:val="0"/>
        <w:ind w:left="-720" w:firstLine="0"/>
        <w:rPr>
          <w:sz w:val="28"/>
          <w:szCs w:val="28"/>
        </w:rPr>
      </w:pPr>
      <w:r w:rsidDel="00000000" w:rsidR="00000000" w:rsidRPr="00000000">
        <w:rPr>
          <w:rtl w:val="0"/>
        </w:rPr>
      </w:r>
    </w:p>
    <w:sectPr>
      <w:type w:val="nextPage"/>
      <w:pgSz w:h="15840" w:w="12240" w:orient="portrait"/>
      <w:pgMar w:bottom="1440" w:top="1440" w:left="1080" w:right="1080"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ial Unicode MS"/>
  <w:font w:name="Libre Baskervill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Quintessential">
    <w:embedRegular w:fontKey="{00000000-0000-0000-0000-000000000000}" r:id="rId5" w:subsetted="0"/>
  </w:font>
  <w:font w:name="Nova Mono">
    <w:embedRegular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widowControl w:val="0"/>
      <w:spacing w:line="240" w:lineRule="auto"/>
      <w:ind w:left="360" w:right="-645" w:hanging="720"/>
      <w:jc w:val="center"/>
      <w:rPr>
        <w:rFonts w:ascii="Libre Baskerville" w:cs="Libre Baskerville" w:eastAsia="Libre Baskerville" w:hAnsi="Libre Baskerville"/>
        <w:i w:val="1"/>
        <w:iCs w:val="1"/>
        <w:color w:val="980000"/>
        <w:sz w:val="16"/>
        <w:szCs w:val="16"/>
      </w:rPr>
    </w:pPr>
    <w:r w:rsidDel="00000000" w:rsidR="00000000" w:rsidRPr="00000000">
      <w:rPr>
        <w:rFonts w:ascii="Libre Baskerville" w:cs="Libre Baskerville" w:eastAsia="Libre Baskerville" w:hAnsi="Libre Baskerville"/>
        <w:color w:val="980000"/>
        <w:sz w:val="20"/>
        <w:szCs w:val="20"/>
        <w:rtl w:val="0"/>
      </w:rPr>
      <w:t xml:space="preserve">Pasquale Leo, </w:t>
    </w:r>
    <w:r w:rsidDel="00000000" w:rsidR="00000000" w:rsidRPr="00000000">
      <w:rPr>
        <w:rFonts w:ascii="Libre Baskerville" w:cs="Libre Baskerville" w:eastAsia="Libre Baskerville" w:hAnsi="Libre Baskerville"/>
        <w:i w:val="1"/>
        <w:iCs w:val="1"/>
        <w:color w:val="980000"/>
        <w:sz w:val="20"/>
        <w:szCs w:val="20"/>
        <w:rtl w:val="0"/>
      </w:rPr>
      <w:t xml:space="preserve">President</w:t>
    </w:r>
    <w:r w:rsidDel="00000000" w:rsidR="00000000" w:rsidRPr="00000000">
      <w:rPr>
        <w:rFonts w:ascii="Libre Baskerville" w:cs="Libre Baskerville" w:eastAsia="Libre Baskerville" w:hAnsi="Libre Baskerville"/>
        <w:i w:val="1"/>
        <w:iCs w:val="1"/>
        <w:color w:val="980000"/>
        <w:sz w:val="16"/>
        <w:szCs w:val="16"/>
        <w:rtl w:val="0"/>
      </w:rPr>
      <w:t xml:space="preserve"> </w:t>
    </w:r>
  </w:p>
  <w:p w:rsidR="00000000" w:rsidDel="00000000" w:rsidP="00000000" w:rsidRDefault="00000000" w:rsidRPr="00000000" w14:paraId="00000027">
    <w:pPr>
      <w:widowControl w:val="0"/>
      <w:spacing w:line="240" w:lineRule="auto"/>
      <w:ind w:right="-645"/>
      <w:jc w:val="center"/>
      <w:rPr>
        <w:rFonts w:ascii="Libre Baskerville" w:cs="Libre Baskerville" w:eastAsia="Libre Baskerville" w:hAnsi="Libre Baskerville"/>
        <w:color w:val="980000"/>
        <w:sz w:val="18"/>
        <w:szCs w:val="18"/>
      </w:rPr>
    </w:pPr>
    <w:r w:rsidDel="00000000" w:rsidR="00000000" w:rsidRPr="00000000">
      <w:rPr>
        <w:rFonts w:ascii="Libre Baskerville" w:cs="Libre Baskerville" w:eastAsia="Libre Baskerville" w:hAnsi="Libre Baskerville"/>
        <w:color w:val="980000"/>
        <w:sz w:val="18"/>
        <w:szCs w:val="18"/>
        <w:rtl w:val="0"/>
      </w:rPr>
      <w:t xml:space="preserve">Katrina Smallwood, </w:t>
    </w:r>
    <w:r w:rsidDel="00000000" w:rsidR="00000000" w:rsidRPr="00000000">
      <w:rPr>
        <w:rFonts w:ascii="Libre Baskerville" w:cs="Libre Baskerville" w:eastAsia="Libre Baskerville" w:hAnsi="Libre Baskerville"/>
        <w:i w:val="1"/>
        <w:iCs w:val="1"/>
        <w:color w:val="980000"/>
        <w:sz w:val="18"/>
        <w:szCs w:val="18"/>
        <w:rtl w:val="0"/>
      </w:rPr>
      <w:t xml:space="preserve">Vice President </w:t>
    </w:r>
    <w:r w:rsidDel="00000000" w:rsidR="00000000" w:rsidRPr="00000000">
      <w:rPr>
        <w:rFonts w:ascii="Nova Mono" w:cs="Nova Mono" w:eastAsia="Nova Mono" w:hAnsi="Nova Mono"/>
        <w:color w:val="980000"/>
        <w:sz w:val="18"/>
        <w:szCs w:val="18"/>
        <w:rtl w:val="0"/>
      </w:rPr>
      <w:t xml:space="preserve">∙ Erin Gephard, </w:t>
    </w:r>
    <w:r w:rsidDel="00000000" w:rsidR="00000000" w:rsidRPr="00000000">
      <w:rPr>
        <w:rFonts w:ascii="Libre Baskerville" w:cs="Libre Baskerville" w:eastAsia="Libre Baskerville" w:hAnsi="Libre Baskerville"/>
        <w:i w:val="1"/>
        <w:iCs w:val="1"/>
        <w:color w:val="980000"/>
        <w:sz w:val="18"/>
        <w:szCs w:val="18"/>
        <w:rtl w:val="0"/>
      </w:rPr>
      <w:t xml:space="preserve">Vice President</w:t>
    </w:r>
    <w:r w:rsidDel="00000000" w:rsidR="00000000" w:rsidRPr="00000000">
      <w:rPr>
        <w:rtl w:val="0"/>
      </w:rPr>
    </w:r>
  </w:p>
  <w:p w:rsidR="00000000" w:rsidDel="00000000" w:rsidP="00000000" w:rsidRDefault="00000000" w:rsidRPr="00000000" w14:paraId="00000028">
    <w:pPr>
      <w:widowControl w:val="0"/>
      <w:spacing w:line="240" w:lineRule="auto"/>
      <w:ind w:right="-645"/>
      <w:jc w:val="center"/>
      <w:rPr>
        <w:rFonts w:ascii="Libre Baskerville" w:cs="Libre Baskerville" w:eastAsia="Libre Baskerville" w:hAnsi="Libre Baskerville"/>
        <w:i w:val="1"/>
        <w:iCs w:val="1"/>
        <w:color w:val="980000"/>
        <w:sz w:val="18"/>
        <w:szCs w:val="18"/>
      </w:rPr>
    </w:pPr>
    <w:r w:rsidDel="00000000" w:rsidR="00000000" w:rsidRPr="00000000">
      <w:rPr>
        <w:rFonts w:ascii="Libre Baskerville" w:cs="Libre Baskerville" w:eastAsia="Libre Baskerville" w:hAnsi="Libre Baskerville"/>
        <w:color w:val="980000"/>
        <w:sz w:val="18"/>
        <w:szCs w:val="18"/>
        <w:rtl w:val="0"/>
      </w:rPr>
      <w:t xml:space="preserve">Brianna D’Amico, </w:t>
    </w:r>
    <w:r w:rsidDel="00000000" w:rsidR="00000000" w:rsidRPr="00000000">
      <w:rPr>
        <w:rFonts w:ascii="Libre Baskerville" w:cs="Libre Baskerville" w:eastAsia="Libre Baskerville" w:hAnsi="Libre Baskerville"/>
        <w:i w:val="1"/>
        <w:iCs w:val="1"/>
        <w:color w:val="980000"/>
        <w:sz w:val="18"/>
        <w:szCs w:val="18"/>
        <w:rtl w:val="0"/>
      </w:rPr>
      <w:t xml:space="preserve">Secretary </w:t>
    </w:r>
    <w:r w:rsidDel="00000000" w:rsidR="00000000" w:rsidRPr="00000000">
      <w:rPr>
        <w:rFonts w:ascii="Nova Mono" w:cs="Nova Mono" w:eastAsia="Nova Mono" w:hAnsi="Nova Mono"/>
        <w:color w:val="980000"/>
        <w:sz w:val="18"/>
        <w:szCs w:val="18"/>
        <w:rtl w:val="0"/>
      </w:rPr>
      <w:t xml:space="preserve">∙ Derek DeVoe, </w:t>
    </w:r>
    <w:r w:rsidDel="00000000" w:rsidR="00000000" w:rsidRPr="00000000">
      <w:rPr>
        <w:rFonts w:ascii="Libre Baskerville" w:cs="Libre Baskerville" w:eastAsia="Libre Baskerville" w:hAnsi="Libre Baskerville"/>
        <w:i w:val="1"/>
        <w:iCs w:val="1"/>
        <w:color w:val="980000"/>
        <w:sz w:val="18"/>
        <w:szCs w:val="18"/>
        <w:rtl w:val="0"/>
      </w:rPr>
      <w:t xml:space="preserve">Treasurer</w:t>
    </w:r>
  </w:p>
  <w:p w:rsidR="00000000" w:rsidDel="00000000" w:rsidP="00000000" w:rsidRDefault="00000000" w:rsidRPr="00000000" w14:paraId="00000029">
    <w:pPr>
      <w:widowControl w:val="0"/>
      <w:spacing w:line="240" w:lineRule="auto"/>
      <w:ind w:right="-645"/>
      <w:jc w:val="center"/>
      <w:rPr>
        <w:sz w:val="26"/>
        <w:szCs w:val="26"/>
      </w:rPr>
    </w:pPr>
    <w:r w:rsidDel="00000000" w:rsidR="00000000" w:rsidRPr="00000000">
      <w:rPr>
        <w:rFonts w:ascii="Quintessential" w:cs="Quintessential" w:eastAsia="Quintessential" w:hAnsi="Quintessential"/>
        <w:sz w:val="23.999500274658203"/>
        <w:szCs w:val="23.999500274658203"/>
        <w:rtl w:val="0"/>
      </w:rPr>
      <w:t xml:space="preserve">There are no greater advocates for children and education than teachers and teacher unions.©</w:t>
    </w: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widowControl w:val="0"/>
      <w:spacing w:line="378.54000091552734" w:lineRule="auto"/>
      <w:ind w:left="8.8800048828125" w:right="-195" w:firstLine="569.4715881347656"/>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widowControl w:val="0"/>
      <w:spacing w:before="200" w:line="240" w:lineRule="auto"/>
      <w:ind w:right="-195"/>
      <w:jc w:val="center"/>
      <w:rPr>
        <w:rFonts w:ascii="Quintessential" w:cs="Quintessential" w:eastAsia="Quintessential" w:hAnsi="Quintessential"/>
        <w:color w:val="980000"/>
        <w:sz w:val="36"/>
        <w:szCs w:val="36"/>
      </w:rPr>
    </w:pPr>
    <w:r w:rsidDel="00000000" w:rsidR="00000000" w:rsidRPr="00000000">
      <w:rPr>
        <w:rFonts w:ascii="Quintessential" w:cs="Quintessential" w:eastAsia="Quintessential" w:hAnsi="Quintessential"/>
        <w:color w:val="980000"/>
        <w:sz w:val="36"/>
        <w:szCs w:val="36"/>
        <w:rtl w:val="0"/>
      </w:rPr>
      <w:t xml:space="preserve">Valley Central Teachers’ Association </w:t>
    </w:r>
  </w:p>
  <w:p w:rsidR="00000000" w:rsidDel="00000000" w:rsidP="00000000" w:rsidRDefault="00000000" w:rsidRPr="00000000" w14:paraId="00000023">
    <w:pPr>
      <w:widowControl w:val="0"/>
      <w:spacing w:line="240" w:lineRule="auto"/>
      <w:ind w:right="-195"/>
      <w:jc w:val="center"/>
      <w:rPr>
        <w:rFonts w:ascii="Times New Roman" w:cs="Times New Roman" w:eastAsia="Times New Roman" w:hAnsi="Times New Roman"/>
        <w:color w:val="980000"/>
        <w:sz w:val="19.999500274658203"/>
        <w:szCs w:val="19.999500274658203"/>
      </w:rPr>
    </w:pPr>
    <w:r w:rsidDel="00000000" w:rsidR="00000000" w:rsidRPr="00000000">
      <w:rPr>
        <w:rFonts w:ascii="Times New Roman" w:cs="Times New Roman" w:eastAsia="Times New Roman" w:hAnsi="Times New Roman"/>
        <w:color w:val="980000"/>
        <w:sz w:val="19.999500274658203"/>
        <w:szCs w:val="19.999500274658203"/>
        <w:rtl w:val="0"/>
      </w:rPr>
      <w:t xml:space="preserve">1175 Route 17K </w:t>
    </w:r>
    <w:r w:rsidDel="00000000" w:rsidR="00000000" w:rsidRPr="00000000">
      <w:rPr>
        <w:rFonts w:ascii="Arial Unicode MS" w:cs="Arial Unicode MS" w:eastAsia="Arial Unicode MS" w:hAnsi="Arial Unicode MS"/>
        <w:color w:val="980000"/>
        <w:sz w:val="19.999500274658203"/>
        <w:szCs w:val="19.999500274658203"/>
        <w:rtl w:val="0"/>
      </w:rPr>
      <w:t xml:space="preserve">∙ </w:t>
    </w:r>
    <w:r w:rsidDel="00000000" w:rsidR="00000000" w:rsidRPr="00000000">
      <w:rPr>
        <w:rFonts w:ascii="Times New Roman" w:cs="Times New Roman" w:eastAsia="Times New Roman" w:hAnsi="Times New Roman"/>
        <w:color w:val="980000"/>
        <w:sz w:val="19.999500274658203"/>
        <w:szCs w:val="19.999500274658203"/>
        <w:rtl w:val="0"/>
      </w:rPr>
      <w:t xml:space="preserve">Montgomery, New York 12549 </w:t>
    </w:r>
  </w:p>
  <w:p w:rsidR="00000000" w:rsidDel="00000000" w:rsidP="00000000" w:rsidRDefault="00000000" w:rsidRPr="00000000" w14:paraId="00000024">
    <w:pPr>
      <w:widowControl w:val="0"/>
      <w:spacing w:line="240" w:lineRule="auto"/>
      <w:ind w:right="-195"/>
      <w:jc w:val="center"/>
      <w:rPr>
        <w:rFonts w:ascii="Times New Roman" w:cs="Times New Roman" w:eastAsia="Times New Roman" w:hAnsi="Times New Roman"/>
        <w:color w:val="980000"/>
        <w:sz w:val="19.999500274658203"/>
        <w:szCs w:val="19.999500274658203"/>
      </w:rPr>
    </w:pPr>
    <w:r w:rsidDel="00000000" w:rsidR="00000000" w:rsidRPr="00000000">
      <w:rPr>
        <w:rFonts w:ascii="Times New Roman" w:cs="Times New Roman" w:eastAsia="Times New Roman" w:hAnsi="Times New Roman"/>
        <w:color w:val="980000"/>
        <w:sz w:val="19.999500274658203"/>
        <w:szCs w:val="19.999500274658203"/>
        <w:rtl w:val="0"/>
      </w:rPr>
      <w:t xml:space="preserve">www.vcta.net </w:t>
    </w:r>
  </w:p>
  <w:p w:rsidR="00000000" w:rsidDel="00000000" w:rsidP="00000000" w:rsidRDefault="00000000" w:rsidRPr="00000000" w14:paraId="00000025">
    <w:pPr>
      <w:widowControl w:val="0"/>
      <w:spacing w:line="378.54000091552734" w:lineRule="auto"/>
      <w:ind w:left="8.8800048828125" w:right="-195" w:firstLine="569.4715881347656"/>
      <w:jc w:val="center"/>
      <w:rPr/>
    </w:pPr>
    <w:r w:rsidDel="00000000" w:rsidR="00000000" w:rsidRPr="00000000">
      <w:rPr>
        <w:rFonts w:ascii="Times New Roman" w:cs="Times New Roman" w:eastAsia="Times New Roman" w:hAnsi="Times New Roman"/>
        <w:i w:val="1"/>
        <w:iCs w:val="1"/>
        <w:color w:val="980000"/>
        <w:sz w:val="19.999500274658203"/>
        <w:szCs w:val="19.999500274658203"/>
        <w:rtl w:val="0"/>
      </w:rPr>
      <w:t xml:space="preserve">Affiliated with the New York State United Teachers, American Federation of Teachers, NEA, AFL-CIO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540" w:hanging="360"/>
      </w:pPr>
      <w:rPr>
        <w:u w:val="none"/>
      </w:rPr>
    </w:lvl>
    <w:lvl w:ilvl="1">
      <w:start w:val="1"/>
      <w:numFmt w:val="decimal"/>
      <w:lvlText w:val="%2."/>
      <w:lvlJc w:val="left"/>
      <w:pPr>
        <w:ind w:left="900" w:hanging="360"/>
      </w:pPr>
      <w:rPr>
        <w:u w:val="none"/>
      </w:rPr>
    </w:lvl>
    <w:lvl w:ilvl="2">
      <w:start w:val="1"/>
      <w:numFmt w:val="lowerLetter"/>
      <w:lvlText w:val="%3."/>
      <w:lvlJc w:val="left"/>
      <w:pPr>
        <w:ind w:left="12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ibreBaskerville-regular.ttf"/><Relationship Id="rId2" Type="http://schemas.openxmlformats.org/officeDocument/2006/relationships/font" Target="fonts/LibreBaskerville-bold.ttf"/><Relationship Id="rId3" Type="http://schemas.openxmlformats.org/officeDocument/2006/relationships/font" Target="fonts/LibreBaskerville-italic.ttf"/><Relationship Id="rId4" Type="http://schemas.openxmlformats.org/officeDocument/2006/relationships/font" Target="fonts/LibreBaskerville-boldItalic.ttf"/><Relationship Id="rId5" Type="http://schemas.openxmlformats.org/officeDocument/2006/relationships/font" Target="fonts/Quintessential-regular.ttf"/><Relationship Id="rId6" Type="http://schemas.openxmlformats.org/officeDocument/2006/relationships/font" Target="fonts/NovaMono-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