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jc w:val="center"/>
        <w:rPr>
          <w:b w:val="1"/>
          <w:bCs w:val="1"/>
        </w:rPr>
      </w:pPr>
      <w:bookmarkStart w:colFirst="0" w:colLast="0" w:name="_53wy87g1nvs9" w:id="0"/>
      <w:bookmarkEnd w:id="0"/>
      <w:r w:rsidDel="00000000" w:rsidR="00000000" w:rsidRPr="00000000">
        <w:rPr>
          <w:b w:val="1"/>
          <w:bCs w:val="1"/>
          <w:rtl w:val="0"/>
        </w:rPr>
        <w:t xml:space="preserve">VCTA Elections Procedures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b w:val="1"/>
          <w:bCs w:val="1"/>
          <w:sz w:val="28"/>
          <w:szCs w:val="28"/>
        </w:rPr>
      </w:pPr>
      <w:bookmarkStart w:colFirst="0" w:colLast="0" w:name="_rtowxtdru39m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 outlined in the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Constitution and Bylaws of the Valley Central Teachers’ Association</w:t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Article VI: Nominations and Elections of Officers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5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Elections of Officers &amp; Delegates</w:t>
      </w:r>
    </w:p>
    <w:p w:rsidR="00000000" w:rsidDel="00000000" w:rsidP="00000000" w:rsidRDefault="00000000" w:rsidRPr="00000000" w14:paraId="00000008">
      <w:pPr>
        <w:spacing w:line="240" w:lineRule="auto"/>
        <w:ind w:left="9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9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Absentee Ballots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12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Members who know in advance that they will be absent from work on the day of VCTA elections may place their signed vote(s) in a sealed envelope with their name also written across the envelope seal. The envelope should be given to a building representative on the member’s last day of attendance before the VCTA Election Day.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40" w:lineRule="auto"/>
        <w:ind w:left="12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Members who are unexpectedly absent on the day of VCTA elections may email the Elections Chair or call the Association phone and leave a detailed message indicating their vote(s). Upon return to work they must immediately follow the procedure specified in Sub-paragraph 5.a. of this Section, above to verify the authenticity of their vote.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Elections Chair Email Address: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vcta.elections@gmail.com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include your full name, unit and building in addition to the details of your vote. You must follow up with your Building Rep to verify your vote.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-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line="240" w:lineRule="auto"/>
      <w:ind w:left="360" w:right="-645" w:hanging="720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20"/>
        <w:szCs w:val="20"/>
        <w:rtl w:val="0"/>
      </w:rPr>
      <w:t xml:space="preserve">Pasquale Leo,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20"/>
        <w:szCs w:val="20"/>
        <w:rtl w:val="0"/>
      </w:rPr>
      <w:t xml:space="preserve">President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8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Katrina Smallwood,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Erin Gephard,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Brianna D’Amico,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Secretary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Derek DeVoe,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Treasurer</w:t>
    </w:r>
  </w:p>
  <w:p w:rsidR="00000000" w:rsidDel="00000000" w:rsidP="00000000" w:rsidRDefault="00000000" w:rsidRPr="00000000" w14:paraId="0000001A">
    <w:pPr>
      <w:widowControl w:val="0"/>
      <w:spacing w:line="240" w:lineRule="auto"/>
      <w:ind w:right="-645"/>
      <w:jc w:val="center"/>
      <w:rPr>
        <w:sz w:val="26"/>
        <w:szCs w:val="26"/>
      </w:rPr>
    </w:pPr>
    <w:r w:rsidDel="00000000" w:rsidR="00000000" w:rsidRPr="00000000">
      <w:rPr>
        <w:rFonts w:ascii="Quintessential" w:cs="Quintessential" w:eastAsia="Quintessential" w:hAnsi="Quintessential"/>
        <w:sz w:val="23.999500274658203"/>
        <w:szCs w:val="23.999500274658203"/>
        <w:rtl w:val="0"/>
      </w:rPr>
      <w:t xml:space="preserve">There are no greater advocates for children and education than teachers and teacher unions.©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spacing w:before="200" w:line="240" w:lineRule="auto"/>
      <w:ind w:right="-195"/>
      <w:jc w:val="center"/>
      <w:rPr>
        <w:rFonts w:ascii="Quintessential" w:cs="Quintessential" w:eastAsia="Quintessential" w:hAnsi="Quintessential"/>
        <w:color w:val="980000"/>
        <w:sz w:val="36"/>
        <w:szCs w:val="36"/>
      </w:rPr>
    </w:pPr>
    <w:r w:rsidDel="00000000" w:rsidR="00000000" w:rsidRPr="00000000">
      <w:rPr>
        <w:rFonts w:ascii="Quintessential" w:cs="Quintessential" w:eastAsia="Quintessential" w:hAnsi="Quintessential"/>
        <w:color w:val="980000"/>
        <w:sz w:val="36"/>
        <w:szCs w:val="36"/>
        <w:rtl w:val="0"/>
      </w:rPr>
      <w:t xml:space="preserve">Valley Central Teachers’ Association </w:t>
    </w:r>
  </w:p>
  <w:p w:rsidR="00000000" w:rsidDel="00000000" w:rsidP="00000000" w:rsidRDefault="00000000" w:rsidRPr="00000000" w14:paraId="00000014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1175 Route 17K </w:t>
    </w:r>
    <w:r w:rsidDel="00000000" w:rsidR="00000000" w:rsidRPr="00000000">
      <w:rPr>
        <w:rFonts w:ascii="Arial Unicode MS" w:cs="Arial Unicode MS" w:eastAsia="Arial Unicode MS" w:hAnsi="Arial Unicode MS"/>
        <w:color w:val="980000"/>
        <w:sz w:val="19.999500274658203"/>
        <w:szCs w:val="19.999500274658203"/>
        <w:rtl w:val="0"/>
      </w:rPr>
      <w:t xml:space="preserve">∙ </w:t>
    </w: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Montgomery, New York 12549 </w:t>
    </w:r>
  </w:p>
  <w:p w:rsidR="00000000" w:rsidDel="00000000" w:rsidP="00000000" w:rsidRDefault="00000000" w:rsidRPr="00000000" w14:paraId="00000015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www.vcta.net </w:t>
    </w:r>
  </w:p>
  <w:p w:rsidR="00000000" w:rsidDel="00000000" w:rsidP="00000000" w:rsidRDefault="00000000" w:rsidRPr="00000000" w14:paraId="00000016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980000"/>
        <w:sz w:val="19.999500274658203"/>
        <w:szCs w:val="19.999500274658203"/>
        <w:rtl w:val="0"/>
      </w:rPr>
      <w:t xml:space="preserve">Affiliated with the New York State United Teachers, American Federation of Teachers, NEA, AFL-CIO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upperLetter"/>
      <w:lvlText w:val="%1."/>
      <w:lvlJc w:val="left"/>
      <w:pPr>
        <w:ind w:left="540" w:hanging="360"/>
      </w:pPr>
      <w:rPr>
        <w:u w:val="none"/>
      </w:rPr>
    </w:lvl>
    <w:lvl w:ilvl="1">
      <w:start w:val="5"/>
      <w:numFmt w:val="decimal"/>
      <w:lvlText w:val="%2."/>
      <w:lvlJc w:val="left"/>
      <w:pPr>
        <w:ind w:left="90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12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cta.elections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Quintessential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